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890" w:tblpY="24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14:paraId="26AC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95" w:type="dxa"/>
            <w:vAlign w:val="center"/>
          </w:tcPr>
          <w:p w14:paraId="51F76C9A">
            <w:pPr>
              <w:jc w:val="center"/>
              <w:rPr>
                <w:rFonts w:hint="default"/>
                <w:vertAlign w:val="baseline"/>
                <w:lang w:val="en-US" w:eastAsia="zh-CN"/>
              </w:rPr>
            </w:pPr>
            <w:r>
              <w:rPr>
                <w:rFonts w:hint="eastAsia"/>
                <w:vertAlign w:val="baseline"/>
                <w:lang w:val="en-US" w:eastAsia="zh-CN"/>
              </w:rPr>
              <w:t>导师姓名</w:t>
            </w:r>
          </w:p>
        </w:tc>
        <w:tc>
          <w:tcPr>
            <w:tcW w:w="2903" w:type="dxa"/>
            <w:vAlign w:val="center"/>
          </w:tcPr>
          <w:p w14:paraId="27C9FC24">
            <w:pPr>
              <w:jc w:val="center"/>
              <w:rPr>
                <w:vertAlign w:val="baseline"/>
              </w:rPr>
            </w:pPr>
            <w:r>
              <w:rPr>
                <w:rFonts w:hint="eastAsia"/>
                <w:vertAlign w:val="baseline"/>
                <w:lang w:val="en-US" w:eastAsia="zh-CN"/>
              </w:rPr>
              <w:t>韩龙</w:t>
            </w:r>
          </w:p>
        </w:tc>
        <w:tc>
          <w:tcPr>
            <w:tcW w:w="1167" w:type="dxa"/>
            <w:vAlign w:val="center"/>
          </w:tcPr>
          <w:p w14:paraId="0FD269C5">
            <w:pPr>
              <w:jc w:val="center"/>
              <w:rPr>
                <w:rFonts w:hint="default"/>
                <w:vertAlign w:val="baseline"/>
                <w:lang w:val="en-US" w:eastAsia="zh-CN"/>
              </w:rPr>
            </w:pPr>
            <w:r>
              <w:rPr>
                <w:rFonts w:hint="eastAsia"/>
                <w:vertAlign w:val="baseline"/>
                <w:lang w:val="en-US" w:eastAsia="zh-CN"/>
              </w:rPr>
              <w:t>职称</w:t>
            </w:r>
          </w:p>
        </w:tc>
        <w:tc>
          <w:tcPr>
            <w:tcW w:w="3033" w:type="dxa"/>
            <w:vAlign w:val="center"/>
          </w:tcPr>
          <w:p w14:paraId="333C65F5">
            <w:pPr>
              <w:jc w:val="both"/>
              <w:rPr>
                <w:vertAlign w:val="baseline"/>
              </w:rPr>
            </w:pPr>
            <w:r>
              <w:rPr>
                <w:rFonts w:hint="eastAsia"/>
                <w:vertAlign w:val="baseline"/>
                <w:lang w:val="en-US" w:eastAsia="zh-CN"/>
              </w:rPr>
              <w:t>教授</w:t>
            </w:r>
          </w:p>
        </w:tc>
      </w:tr>
      <w:tr w14:paraId="074B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295" w:type="dxa"/>
            <w:vAlign w:val="center"/>
          </w:tcPr>
          <w:p w14:paraId="1C254D5B">
            <w:pPr>
              <w:jc w:val="center"/>
              <w:rPr>
                <w:rFonts w:hint="default"/>
                <w:vertAlign w:val="baseline"/>
                <w:lang w:val="en-US" w:eastAsia="zh-CN"/>
              </w:rPr>
            </w:pPr>
            <w:r>
              <w:rPr>
                <w:rFonts w:hint="eastAsia"/>
                <w:vertAlign w:val="baseline"/>
                <w:lang w:val="en-US" w:eastAsia="zh-CN"/>
              </w:rPr>
              <w:t>所在学院</w:t>
            </w:r>
          </w:p>
        </w:tc>
        <w:tc>
          <w:tcPr>
            <w:tcW w:w="2903" w:type="dxa"/>
            <w:vAlign w:val="center"/>
          </w:tcPr>
          <w:p w14:paraId="164AE350">
            <w:pPr>
              <w:jc w:val="center"/>
              <w:rPr>
                <w:vertAlign w:val="baseline"/>
              </w:rPr>
            </w:pPr>
            <w:r>
              <w:rPr>
                <w:rFonts w:hint="eastAsia"/>
                <w:vertAlign w:val="baseline"/>
                <w:lang w:val="en-US" w:eastAsia="zh-CN"/>
              </w:rPr>
              <w:t>能源与碳中和科教融合学院</w:t>
            </w:r>
          </w:p>
        </w:tc>
        <w:tc>
          <w:tcPr>
            <w:tcW w:w="1167" w:type="dxa"/>
            <w:vAlign w:val="center"/>
          </w:tcPr>
          <w:p w14:paraId="3A201C2A">
            <w:pPr>
              <w:jc w:val="center"/>
              <w:rPr>
                <w:rFonts w:hint="default"/>
                <w:vertAlign w:val="baseline"/>
                <w:lang w:val="en-US" w:eastAsia="zh-CN"/>
              </w:rPr>
            </w:pPr>
            <w:r>
              <w:rPr>
                <w:rFonts w:hint="eastAsia"/>
                <w:vertAlign w:val="baseline"/>
                <w:lang w:val="en-US" w:eastAsia="zh-CN"/>
              </w:rPr>
              <w:t>电子邮箱</w:t>
            </w:r>
          </w:p>
        </w:tc>
        <w:tc>
          <w:tcPr>
            <w:tcW w:w="3033" w:type="dxa"/>
            <w:vAlign w:val="center"/>
          </w:tcPr>
          <w:p w14:paraId="76F8488F">
            <w:pPr>
              <w:jc w:val="both"/>
              <w:rPr>
                <w:rFonts w:hint="default" w:eastAsiaTheme="minorEastAsia"/>
                <w:vertAlign w:val="baseline"/>
                <w:lang w:val="en-US" w:eastAsia="zh-CN"/>
              </w:rPr>
            </w:pPr>
            <w:r>
              <w:rPr>
                <w:rFonts w:hint="eastAsia"/>
                <w:vertAlign w:val="baseline"/>
                <w:lang w:val="en-US" w:eastAsia="zh-CN"/>
              </w:rPr>
              <w:t>longhan@zjut.edu.cn</w:t>
            </w:r>
          </w:p>
        </w:tc>
      </w:tr>
      <w:tr w14:paraId="3917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1295" w:type="dxa"/>
            <w:vAlign w:val="center"/>
          </w:tcPr>
          <w:p w14:paraId="5E3D9334">
            <w:pPr>
              <w:jc w:val="center"/>
              <w:rPr>
                <w:rFonts w:hint="default"/>
                <w:vertAlign w:val="baseline"/>
                <w:lang w:val="en-US" w:eastAsia="zh-CN"/>
              </w:rPr>
            </w:pPr>
            <w:r>
              <w:rPr>
                <w:rFonts w:hint="eastAsia"/>
                <w:vertAlign w:val="baseline"/>
                <w:lang w:val="en-US" w:eastAsia="zh-CN"/>
              </w:rPr>
              <w:t>研究方向</w:t>
            </w:r>
          </w:p>
        </w:tc>
        <w:tc>
          <w:tcPr>
            <w:tcW w:w="7103" w:type="dxa"/>
            <w:gridSpan w:val="3"/>
            <w:vAlign w:val="center"/>
          </w:tcPr>
          <w:p w14:paraId="470B6B90">
            <w:pPr>
              <w:jc w:val="center"/>
              <w:rPr>
                <w:vertAlign w:val="baseline"/>
              </w:rPr>
            </w:pPr>
            <w:r>
              <w:rPr>
                <w:rFonts w:hint="eastAsia"/>
                <w:vertAlign w:val="baseline"/>
                <w:lang w:val="en-US" w:eastAsia="zh-CN"/>
              </w:rPr>
              <w:t>生物质气化制氢，化学链燃烧与气化，适应大规模可再生能源的未来电厂</w:t>
            </w:r>
          </w:p>
        </w:tc>
      </w:tr>
      <w:tr w14:paraId="1B4A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1" w:hRule="atLeast"/>
        </w:trPr>
        <w:tc>
          <w:tcPr>
            <w:tcW w:w="1295" w:type="dxa"/>
            <w:vAlign w:val="center"/>
          </w:tcPr>
          <w:p w14:paraId="0516CF2E">
            <w:pPr>
              <w:jc w:val="center"/>
              <w:rPr>
                <w:rFonts w:hint="eastAsia"/>
                <w:vertAlign w:val="baseline"/>
                <w:lang w:val="en-US" w:eastAsia="zh-CN"/>
              </w:rPr>
            </w:pPr>
            <w:r>
              <w:rPr>
                <w:rFonts w:hint="eastAsia"/>
                <w:vertAlign w:val="baseline"/>
                <w:lang w:val="en-US" w:eastAsia="zh-CN"/>
              </w:rPr>
              <w:t>个人简介</w:t>
            </w:r>
          </w:p>
        </w:tc>
        <w:tc>
          <w:tcPr>
            <w:tcW w:w="7103" w:type="dxa"/>
            <w:gridSpan w:val="3"/>
          </w:tcPr>
          <w:p w14:paraId="60F09A9B">
            <w:pPr>
              <w:rPr>
                <w:rFonts w:hint="default"/>
                <w:vertAlign w:val="baseline"/>
                <w:lang w:val="en-US" w:eastAsia="zh-CN"/>
              </w:rPr>
            </w:pPr>
            <w:r>
              <w:rPr>
                <w:rFonts w:hint="eastAsia"/>
                <w:vertAlign w:val="baseline"/>
                <w:lang w:val="en-US" w:eastAsia="zh-CN"/>
              </w:rPr>
              <w:t>（注：指导教师可根据需要在个人简介里适当介绍科研领域、项目成果与代表性著作或论文等信息）</w:t>
            </w:r>
          </w:p>
          <w:p w14:paraId="177EEBFB">
            <w:pPr>
              <w:jc w:val="both"/>
              <w:rPr>
                <w:rFonts w:hint="default" w:ascii="Times New Roman" w:hAnsi="Times New Roman" w:cs="Times New Roman"/>
                <w:b w:val="0"/>
                <w:bCs w:val="0"/>
                <w:sz w:val="15"/>
                <w:szCs w:val="15"/>
                <w:lang w:val="en-US" w:eastAsia="zh-CN"/>
              </w:rPr>
            </w:pPr>
            <w:r>
              <w:rPr>
                <w:rFonts w:hint="default" w:ascii="Times New Roman" w:hAnsi="Times New Roman" w:cs="Times New Roman"/>
                <w:b w:val="0"/>
                <w:bCs w:val="0"/>
                <w:sz w:val="15"/>
                <w:szCs w:val="15"/>
                <w:lang w:val="en-US" w:eastAsia="zh-CN"/>
              </w:rPr>
              <w:t>一、科研领域</w:t>
            </w:r>
          </w:p>
          <w:p w14:paraId="09D64BED">
            <w:pPr>
              <w:jc w:val="both"/>
              <w:rPr>
                <w:rFonts w:hint="default" w:ascii="Times New Roman" w:hAnsi="Times New Roman" w:cs="Times New Roman"/>
                <w:b w:val="0"/>
                <w:bCs w:val="0"/>
                <w:sz w:val="15"/>
                <w:szCs w:val="15"/>
                <w:lang w:val="en-US" w:eastAsia="zh-CN"/>
              </w:rPr>
            </w:pPr>
            <w:r>
              <w:rPr>
                <w:rFonts w:hint="default" w:ascii="Times New Roman" w:hAnsi="Times New Roman" w:cs="Times New Roman"/>
                <w:b w:val="0"/>
                <w:bCs w:val="0"/>
                <w:sz w:val="15"/>
                <w:szCs w:val="15"/>
                <w:lang w:val="en-US" w:eastAsia="zh-CN"/>
              </w:rPr>
              <w:t xml:space="preserve">    主要面向未来风能、太阳能、生物质能等可再生能源为主的新型能源体系构建重大需求，开展基于生物质能利用的氢、甲醇等绿色燃料制备、利用及适应高比例调峰需求未来电厂技术的研究。</w:t>
            </w:r>
          </w:p>
          <w:p w14:paraId="6FD1AB98">
            <w:pPr>
              <w:jc w:val="both"/>
              <w:rPr>
                <w:rFonts w:hint="default" w:ascii="Times New Roman" w:hAnsi="Times New Roman" w:cs="Times New Roman"/>
                <w:b w:val="0"/>
                <w:bCs w:val="0"/>
                <w:sz w:val="15"/>
                <w:szCs w:val="15"/>
                <w:lang w:val="en-US" w:eastAsia="zh-CN"/>
              </w:rPr>
            </w:pPr>
            <w:r>
              <w:rPr>
                <w:rFonts w:hint="default" w:ascii="Times New Roman" w:hAnsi="Times New Roman" w:cs="Times New Roman"/>
                <w:b w:val="0"/>
                <w:bCs w:val="0"/>
                <w:sz w:val="15"/>
                <w:szCs w:val="15"/>
                <w:lang w:val="en-US" w:eastAsia="zh-CN"/>
              </w:rPr>
              <w:t>二、项目成果</w:t>
            </w:r>
          </w:p>
          <w:p w14:paraId="1AB5E301">
            <w:pPr>
              <w:jc w:val="both"/>
              <w:rPr>
                <w:rFonts w:hint="default" w:ascii="Times New Roman" w:hAnsi="Times New Roman" w:cs="Times New Roman"/>
                <w:b w:val="0"/>
                <w:bCs w:val="0"/>
                <w:sz w:val="15"/>
                <w:szCs w:val="15"/>
                <w:lang w:val="en-US" w:eastAsia="zh-CN"/>
              </w:rPr>
            </w:pPr>
            <w:r>
              <w:rPr>
                <w:rFonts w:hint="default" w:ascii="Times New Roman" w:hAnsi="Times New Roman" w:cs="Times New Roman"/>
                <w:b w:val="0"/>
                <w:bCs w:val="0"/>
                <w:sz w:val="15"/>
                <w:szCs w:val="15"/>
                <w:lang w:val="en-US" w:eastAsia="zh-CN"/>
              </w:rPr>
              <w:t>作为项目负责人主持国家自然科学基金青年项目、面上项目、国家重点研发计划任务课题、浙江省“尖兵”“领雁”重点研发计划项目等课题的研究。入选中国颗粒学会流态化专委会托举青年人才、浙江省能源科技优秀工作者、浙江工业大学高层次人才培养计划。开发了高活性高稳定性高温CO2捕集吸附剂、形成了绿色燃料转化过程强化方法、研制了国内外首台套生物质化学链加压气化装置并建立装备工程设计和放大准则，代表成果获得清华大学、中国工程院、美国哥伦比亚大学、英国剑桥大学、日本东京大学等著名机构和学者的积极评价。</w:t>
            </w:r>
            <w:bookmarkStart w:id="0" w:name="_GoBack"/>
            <w:bookmarkEnd w:id="0"/>
          </w:p>
          <w:p w14:paraId="7E9F64A3">
            <w:pPr>
              <w:jc w:val="both"/>
              <w:rPr>
                <w:rFonts w:hint="default" w:ascii="Times New Roman" w:hAnsi="Times New Roman" w:cs="Times New Roman"/>
                <w:b w:val="0"/>
                <w:bCs w:val="0"/>
                <w:sz w:val="15"/>
                <w:szCs w:val="15"/>
                <w:lang w:val="en-US" w:eastAsia="zh-CN"/>
              </w:rPr>
            </w:pPr>
            <w:r>
              <w:rPr>
                <w:rFonts w:hint="default" w:ascii="Times New Roman" w:hAnsi="Times New Roman" w:cs="Times New Roman"/>
                <w:b w:val="0"/>
                <w:bCs w:val="0"/>
                <w:sz w:val="15"/>
                <w:szCs w:val="15"/>
                <w:lang w:val="en-US" w:eastAsia="zh-CN"/>
              </w:rPr>
              <w:t>三、代表性论文</w:t>
            </w:r>
          </w:p>
          <w:p w14:paraId="6441154D">
            <w:pPr>
              <w:jc w:val="both"/>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1 Enhanced thermochemical energy storage properties of SiC-doped calcium-based material with steam addition during heat charging process, Journal of Energy Storage 95 (2024) 112609.</w:t>
            </w:r>
          </w:p>
          <w:p w14:paraId="2C0B2C34">
            <w:pPr>
              <w:jc w:val="both"/>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2 Enhanced multi-cycle CO</w:t>
            </w:r>
            <w:r>
              <w:rPr>
                <w:rFonts w:hint="default" w:ascii="Times New Roman" w:hAnsi="Times New Roman" w:cs="Times New Roman"/>
                <w:b w:val="0"/>
                <w:bCs w:val="0"/>
                <w:sz w:val="18"/>
                <w:szCs w:val="18"/>
                <w:vertAlign w:val="subscript"/>
                <w:lang w:val="en-US" w:eastAsia="zh-CN"/>
              </w:rPr>
              <w:t>2</w:t>
            </w:r>
            <w:r>
              <w:rPr>
                <w:rFonts w:hint="default" w:ascii="Times New Roman" w:hAnsi="Times New Roman" w:cs="Times New Roman"/>
                <w:b w:val="0"/>
                <w:bCs w:val="0"/>
                <w:sz w:val="18"/>
                <w:szCs w:val="18"/>
                <w:lang w:val="en-US" w:eastAsia="zh-CN"/>
              </w:rPr>
              <w:t xml:space="preserve"> capture and tar reforming via a hybrid CaO-based absorbent/catalyst: effects of preparation, reaction conditions and application for hydrogen production, 2023, International Journal of Hydrogen Energy, 48, 27: 9988-10001.</w:t>
            </w:r>
          </w:p>
          <w:p w14:paraId="1CA1080E">
            <w:pPr>
              <w:jc w:val="both"/>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3 Effect of steam addition during calcination on CO</w:t>
            </w:r>
            <w:r>
              <w:rPr>
                <w:rFonts w:hint="default" w:ascii="Times New Roman" w:hAnsi="Times New Roman" w:cs="Times New Roman"/>
                <w:b w:val="0"/>
                <w:bCs w:val="0"/>
                <w:sz w:val="18"/>
                <w:szCs w:val="18"/>
                <w:vertAlign w:val="subscript"/>
                <w:lang w:val="en-US" w:eastAsia="zh-CN"/>
              </w:rPr>
              <w:t>2</w:t>
            </w:r>
            <w:r>
              <w:rPr>
                <w:rFonts w:hint="default" w:ascii="Times New Roman" w:hAnsi="Times New Roman" w:cs="Times New Roman"/>
                <w:b w:val="0"/>
                <w:bCs w:val="0"/>
                <w:sz w:val="18"/>
                <w:szCs w:val="18"/>
                <w:lang w:val="en-US" w:eastAsia="zh-CN"/>
              </w:rPr>
              <w:t xml:space="preserve"> capture performance and strength of bio-templated Ca-based pellets.  Journal of CO</w:t>
            </w:r>
            <w:r>
              <w:rPr>
                <w:rFonts w:hint="default" w:ascii="Times New Roman" w:hAnsi="Times New Roman" w:cs="Times New Roman"/>
                <w:b w:val="0"/>
                <w:bCs w:val="0"/>
                <w:sz w:val="18"/>
                <w:szCs w:val="18"/>
                <w:vertAlign w:val="subscript"/>
                <w:lang w:val="en-US" w:eastAsia="zh-CN"/>
              </w:rPr>
              <w:t>2</w:t>
            </w:r>
            <w:r>
              <w:rPr>
                <w:rFonts w:hint="default" w:ascii="Times New Roman" w:hAnsi="Times New Roman" w:cs="Times New Roman"/>
                <w:b w:val="0"/>
                <w:bCs w:val="0"/>
                <w:sz w:val="18"/>
                <w:szCs w:val="18"/>
                <w:lang w:val="en-US" w:eastAsia="zh-CN"/>
              </w:rPr>
              <w:t xml:space="preserve"> Utilization, 2022, 63, 102127.</w:t>
            </w:r>
          </w:p>
          <w:p w14:paraId="1FCEBB16">
            <w:pPr>
              <w:jc w:val="both"/>
              <w:rPr>
                <w:rFonts w:hint="default" w:ascii="Times New Roman" w:hAnsi="Times New Roman" w:cs="Times New Roman"/>
                <w:b w:val="0"/>
                <w:bCs w:val="0"/>
                <w:sz w:val="18"/>
                <w:szCs w:val="18"/>
                <w:lang w:val="en-US" w:eastAsia="zh-CN"/>
              </w:rPr>
            </w:pPr>
            <w:r>
              <w:rPr>
                <w:rFonts w:hint="default" w:ascii="Times New Roman" w:hAnsi="Times New Roman" w:cs="Times New Roman"/>
                <w:b w:val="0"/>
                <w:bCs w:val="0"/>
                <w:sz w:val="18"/>
                <w:szCs w:val="18"/>
                <w:lang w:val="en-US" w:eastAsia="zh-CN"/>
              </w:rPr>
              <w:t>4 Reactivation of Biotemplated CaO-Based Pellets for Cyclic CO</w:t>
            </w:r>
            <w:r>
              <w:rPr>
                <w:rFonts w:hint="default" w:ascii="Times New Roman" w:hAnsi="Times New Roman" w:cs="Times New Roman"/>
                <w:b w:val="0"/>
                <w:bCs w:val="0"/>
                <w:sz w:val="18"/>
                <w:szCs w:val="18"/>
                <w:vertAlign w:val="subscript"/>
                <w:lang w:val="en-US" w:eastAsia="zh-CN"/>
              </w:rPr>
              <w:t>2</w:t>
            </w:r>
            <w:r>
              <w:rPr>
                <w:rFonts w:hint="default" w:ascii="Times New Roman" w:hAnsi="Times New Roman" w:cs="Times New Roman"/>
                <w:b w:val="0"/>
                <w:bCs w:val="0"/>
                <w:sz w:val="18"/>
                <w:szCs w:val="18"/>
                <w:lang w:val="en-US" w:eastAsia="zh-CN"/>
              </w:rPr>
              <w:t xml:space="preserve"> Capture, Energy &amp; Fuels, 2021, 35, 7, 6056-6067. </w:t>
            </w:r>
          </w:p>
          <w:p w14:paraId="6D4DD1B7">
            <w:pPr>
              <w:jc w:val="both"/>
              <w:rPr>
                <w:rFonts w:hint="default"/>
                <w:vertAlign w:val="baseline"/>
                <w:lang w:val="en-US" w:eastAsia="zh-CN"/>
              </w:rPr>
            </w:pPr>
            <w:r>
              <w:rPr>
                <w:rFonts w:hint="default" w:ascii="Times New Roman" w:hAnsi="Times New Roman" w:cs="Times New Roman"/>
                <w:b w:val="0"/>
                <w:bCs w:val="0"/>
                <w:sz w:val="18"/>
                <w:szCs w:val="18"/>
                <w:lang w:val="en-US" w:eastAsia="zh-CN"/>
              </w:rPr>
              <w:t>5 Enhanced hydrogen production via catalytic tar reforming with in situ carbon dioxide capture: Effects of a hybrid iron-calcium absorbent prepared by impregnation. Energy Conversion and Management., 2020, 214, 112834:1-13.</w:t>
            </w:r>
          </w:p>
        </w:tc>
      </w:tr>
      <w:tr w14:paraId="5C5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295" w:type="dxa"/>
            <w:vAlign w:val="center"/>
          </w:tcPr>
          <w:p w14:paraId="4566234C">
            <w:pPr>
              <w:jc w:val="both"/>
              <w:rPr>
                <w:rFonts w:hint="eastAsia"/>
                <w:vertAlign w:val="baseline"/>
                <w:lang w:val="en-US" w:eastAsia="zh-CN"/>
              </w:rPr>
            </w:pPr>
          </w:p>
          <w:p w14:paraId="4EDDEC80">
            <w:pPr>
              <w:jc w:val="both"/>
              <w:rPr>
                <w:rFonts w:hint="default"/>
                <w:vertAlign w:val="baseline"/>
                <w:lang w:val="en-US" w:eastAsia="zh-CN"/>
              </w:rPr>
            </w:pPr>
            <w:r>
              <w:rPr>
                <w:rFonts w:hint="eastAsia"/>
                <w:vertAlign w:val="baseline"/>
                <w:lang w:val="en-US" w:eastAsia="zh-CN"/>
              </w:rPr>
              <w:t>对拟招学生的期望（选填）</w:t>
            </w:r>
          </w:p>
          <w:p w14:paraId="25521096">
            <w:pPr>
              <w:jc w:val="center"/>
              <w:rPr>
                <w:rFonts w:hint="default"/>
                <w:vertAlign w:val="baseline"/>
                <w:lang w:val="en-US" w:eastAsia="zh-CN"/>
              </w:rPr>
            </w:pPr>
          </w:p>
        </w:tc>
        <w:tc>
          <w:tcPr>
            <w:tcW w:w="7103" w:type="dxa"/>
            <w:gridSpan w:val="3"/>
          </w:tcPr>
          <w:p w14:paraId="39E9E202">
            <w:pPr>
              <w:ind w:firstLine="420" w:firstLineChars="200"/>
              <w:rPr>
                <w:rFonts w:hint="eastAsia" w:asciiTheme="minorHAnsi" w:hAnsiTheme="minorHAnsi" w:eastAsiaTheme="minorEastAsia" w:cstheme="minorBidi"/>
                <w:kern w:val="2"/>
                <w:sz w:val="21"/>
                <w:szCs w:val="24"/>
                <w:lang w:val="en-US" w:eastAsia="zh-CN" w:bidi="ar-SA"/>
              </w:rPr>
            </w:pPr>
            <w:r>
              <w:rPr>
                <w:rFonts w:hint="eastAsia"/>
                <w:vertAlign w:val="baseline"/>
                <w:lang w:val="en-US" w:eastAsia="zh-CN"/>
              </w:rPr>
              <w:t>具有能源动力、化工材料、环境保护等学科方向的学习和研究经历，优先考虑对科研抱有浓厚兴趣、做事情主动性强、有独立发表论文和申请专利经历的候选人。希望做事有计划、有条理，态度认真负责，具有良好的综合品质和素养。</w:t>
            </w:r>
          </w:p>
        </w:tc>
      </w:tr>
      <w:tr w14:paraId="0BAA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5" w:type="dxa"/>
            <w:vAlign w:val="center"/>
          </w:tcPr>
          <w:p w14:paraId="007F55EC">
            <w:pPr>
              <w:jc w:val="center"/>
              <w:rPr>
                <w:rFonts w:hint="default"/>
                <w:vertAlign w:val="baseline"/>
                <w:lang w:val="en-US" w:eastAsia="zh-CN"/>
              </w:rPr>
            </w:pPr>
            <w:r>
              <w:rPr>
                <w:rFonts w:hint="eastAsia"/>
                <w:vertAlign w:val="baseline"/>
                <w:lang w:val="en-US" w:eastAsia="zh-CN"/>
              </w:rPr>
              <w:t>备注</w:t>
            </w:r>
          </w:p>
        </w:tc>
        <w:tc>
          <w:tcPr>
            <w:tcW w:w="7103" w:type="dxa"/>
            <w:gridSpan w:val="3"/>
          </w:tcPr>
          <w:p w14:paraId="38B0A917">
            <w:pPr>
              <w:rPr>
                <w:rFonts w:hint="eastAsia"/>
                <w:vertAlign w:val="baseline"/>
                <w:lang w:val="en-US" w:eastAsia="zh-CN"/>
              </w:rPr>
            </w:pPr>
          </w:p>
        </w:tc>
      </w:tr>
    </w:tbl>
    <w:p w14:paraId="45451FED">
      <w:pPr>
        <w:jc w:val="center"/>
        <w:rPr>
          <w:rFonts w:hint="eastAsia"/>
          <w:b/>
          <w:bCs/>
          <w:sz w:val="36"/>
          <w:szCs w:val="36"/>
          <w:lang w:val="en-US" w:eastAsia="zh-CN"/>
        </w:rPr>
      </w:pPr>
      <w:r>
        <w:rPr>
          <w:rFonts w:hint="eastAsia"/>
          <w:b/>
          <w:bCs/>
          <w:sz w:val="36"/>
          <w:szCs w:val="36"/>
          <w:lang w:val="en-US" w:eastAsia="zh-CN"/>
        </w:rPr>
        <w:t>浙江工业大学博士研究生导师公开发布信息表</w:t>
      </w:r>
    </w:p>
    <w:p w14:paraId="65A65488">
      <w:pPr>
        <w:jc w:val="center"/>
        <w:rPr>
          <w:rFonts w:hint="default"/>
          <w:b w:val="0"/>
          <w:bCs w:val="0"/>
          <w:sz w:val="21"/>
          <w:szCs w:val="21"/>
          <w:lang w:val="en-US" w:eastAsia="zh-CN"/>
        </w:rPr>
      </w:pPr>
      <w:r>
        <w:rPr>
          <w:rFonts w:hint="eastAsia"/>
          <w:b w:val="0"/>
          <w:bCs w:val="0"/>
          <w:sz w:val="21"/>
          <w:szCs w:val="21"/>
          <w:lang w:val="en-US" w:eastAsia="zh-CN"/>
        </w:rPr>
        <w:t>（中文授课用中文填写，英文授课用英文填写）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icrosoft JhengHei">
    <w:panose1 w:val="020B0604030504040204"/>
    <w:charset w:val="88"/>
    <w:family w:val="auto"/>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D54280D"/>
    <w:rsid w:val="0DC01C7B"/>
    <w:rsid w:val="1457759B"/>
    <w:rsid w:val="1B0E2C78"/>
    <w:rsid w:val="244B20BB"/>
    <w:rsid w:val="27670BA6"/>
    <w:rsid w:val="342D04B5"/>
    <w:rsid w:val="397B0DBD"/>
    <w:rsid w:val="3CE71A6C"/>
    <w:rsid w:val="582C695D"/>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121</Words>
  <Characters>121</Characters>
  <Lines>0</Lines>
  <Paragraphs>0</Paragraphs>
  <TotalTime>2</TotalTime>
  <ScaleCrop>false</ScaleCrop>
  <LinksUpToDate>false</LinksUpToDate>
  <CharactersWithSpaces>121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2024-12-26T08:10:00Z</dcterms:created>
  <dc:creator>小龙人</dc:creator>
  <cp:lastModifiedBy>Think</cp:lastModifiedBy>
  <dcterms:modified xsi:type="dcterms:W3CDTF">2025-01-03T06:27:13Z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21929C29A6824F1EA750BE33274FEA80_13</vt:lpwstr>
  </property>
  <property fmtid="{D5CDD505-2E9C-101B-9397-08002B2CF9AE}" pid="4" name="KSOTemplateDocerSaveRecord">
    <vt:lpwstr>eyJoZGlkIjoiM2MzMTkxZTAzZjQ3MjE0NmRjNmYyNWQxMzc3ZjMyNDEifQ==</vt:lpwstr>
  </property>
</Properties>
</file>